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11F" w:rsidRDefault="008D286E" w:rsidP="00F75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31F20"/>
          <w:sz w:val="28"/>
          <w:szCs w:val="28"/>
          <w:u w:val="single"/>
        </w:rPr>
        <w:t>Skills</w:t>
      </w:r>
      <w:bookmarkStart w:id="0" w:name="_GoBack"/>
      <w:bookmarkEnd w:id="0"/>
      <w:r w:rsidR="00F7511F" w:rsidRPr="00056CC5">
        <w:rPr>
          <w:rFonts w:ascii="Arial" w:hAnsi="Arial" w:cs="Arial"/>
          <w:b/>
          <w:bCs/>
          <w:color w:val="231F20"/>
          <w:sz w:val="28"/>
          <w:szCs w:val="28"/>
          <w:u w:val="single"/>
        </w:rPr>
        <w:t xml:space="preserve"> and attitudes in RE</w:t>
      </w:r>
    </w:p>
    <w:p w:rsidR="00CD228E" w:rsidRDefault="00CD228E" w:rsidP="00F75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  <w:u w:val="single"/>
        </w:rPr>
      </w:pPr>
      <w:r>
        <w:rPr>
          <w:rFonts w:ascii="Arial" w:hAnsi="Arial" w:cs="Arial"/>
          <w:b/>
          <w:bCs/>
          <w:color w:val="231F20"/>
          <w:sz w:val="28"/>
          <w:szCs w:val="28"/>
          <w:u w:val="single"/>
        </w:rPr>
        <w:t>(Taken from the Derbyshire Agreed Syllabus 2020-2025)</w:t>
      </w:r>
    </w:p>
    <w:p w:rsidR="00056CC5" w:rsidRDefault="00056CC5" w:rsidP="00F75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8"/>
          <w:szCs w:val="28"/>
          <w:u w:val="single"/>
        </w:rPr>
      </w:pPr>
    </w:p>
    <w:p w:rsidR="00056CC5" w:rsidRPr="00056CC5" w:rsidRDefault="00056CC5" w:rsidP="00056C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4"/>
          <w:szCs w:val="24"/>
          <w:u w:val="single"/>
        </w:rPr>
      </w:pPr>
      <w:r w:rsidRPr="00056CC5">
        <w:rPr>
          <w:rFonts w:ascii="Arial" w:hAnsi="Arial" w:cs="Arial"/>
          <w:sz w:val="24"/>
          <w:szCs w:val="24"/>
        </w:rPr>
        <w:t>Progress in RE</w:t>
      </w:r>
      <w:r>
        <w:rPr>
          <w:rFonts w:ascii="Arial" w:hAnsi="Arial" w:cs="Arial"/>
          <w:sz w:val="24"/>
          <w:szCs w:val="24"/>
        </w:rPr>
        <w:t xml:space="preserve"> requires children to use g</w:t>
      </w:r>
      <w:r w:rsidRPr="00056CC5">
        <w:rPr>
          <w:rFonts w:ascii="Arial" w:hAnsi="Arial" w:cs="Arial"/>
          <w:sz w:val="24"/>
          <w:szCs w:val="24"/>
        </w:rPr>
        <w:t>ener</w:t>
      </w:r>
      <w:r>
        <w:rPr>
          <w:rFonts w:ascii="Arial" w:hAnsi="Arial" w:cs="Arial"/>
          <w:sz w:val="24"/>
          <w:szCs w:val="24"/>
        </w:rPr>
        <w:t>ic</w:t>
      </w:r>
      <w:r w:rsidRPr="00056C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learning</w:t>
      </w:r>
      <w:r w:rsidRPr="00056CC5">
        <w:rPr>
          <w:rFonts w:ascii="Arial" w:hAnsi="Arial" w:cs="Arial"/>
          <w:sz w:val="24"/>
          <w:szCs w:val="24"/>
        </w:rPr>
        <w:t xml:space="preserve"> skills </w:t>
      </w:r>
      <w:r>
        <w:rPr>
          <w:rFonts w:ascii="Arial" w:hAnsi="Arial" w:cs="Arial"/>
          <w:sz w:val="24"/>
          <w:szCs w:val="24"/>
        </w:rPr>
        <w:t>related to specific RE s</w:t>
      </w:r>
      <w:r w:rsidRPr="00056CC5">
        <w:rPr>
          <w:rFonts w:ascii="Arial" w:hAnsi="Arial" w:cs="Arial"/>
          <w:sz w:val="24"/>
          <w:szCs w:val="24"/>
        </w:rPr>
        <w:t>ubject knowledge. Th</w:t>
      </w:r>
      <w:r>
        <w:rPr>
          <w:rFonts w:ascii="Arial" w:hAnsi="Arial" w:cs="Arial"/>
          <w:sz w:val="24"/>
          <w:szCs w:val="24"/>
        </w:rPr>
        <w:t>rough this, a range of skills are strengthened and under</w:t>
      </w:r>
      <w:r w:rsidRPr="00056CC5">
        <w:rPr>
          <w:rFonts w:ascii="Arial" w:hAnsi="Arial" w:cs="Arial"/>
          <w:sz w:val="24"/>
          <w:szCs w:val="24"/>
        </w:rPr>
        <w:t>standing and knowledge</w:t>
      </w:r>
      <w:r>
        <w:rPr>
          <w:rFonts w:ascii="Arial" w:hAnsi="Arial" w:cs="Arial"/>
          <w:sz w:val="24"/>
          <w:szCs w:val="24"/>
        </w:rPr>
        <w:t xml:space="preserve"> is deepened</w:t>
      </w:r>
      <w:r w:rsidRPr="00056CC5">
        <w:rPr>
          <w:rFonts w:ascii="Arial" w:hAnsi="Arial" w:cs="Arial"/>
          <w:sz w:val="24"/>
          <w:szCs w:val="24"/>
        </w:rPr>
        <w:t xml:space="preserve">. The following skills are important </w:t>
      </w:r>
      <w:r>
        <w:rPr>
          <w:rFonts w:ascii="Arial" w:hAnsi="Arial" w:cs="Arial"/>
          <w:sz w:val="24"/>
          <w:szCs w:val="24"/>
        </w:rPr>
        <w:t>to</w:t>
      </w:r>
      <w:r w:rsidRPr="00056CC5">
        <w:rPr>
          <w:rFonts w:ascii="Arial" w:hAnsi="Arial" w:cs="Arial"/>
          <w:sz w:val="24"/>
          <w:szCs w:val="24"/>
        </w:rPr>
        <w:t xml:space="preserve"> RE, and are reflected in many agreed syllabus programmes. </w:t>
      </w:r>
      <w:r>
        <w:rPr>
          <w:rFonts w:ascii="Arial" w:hAnsi="Arial" w:cs="Arial"/>
          <w:sz w:val="24"/>
          <w:szCs w:val="24"/>
        </w:rPr>
        <w:t xml:space="preserve">We </w:t>
      </w:r>
      <w:r w:rsidRPr="00056CC5">
        <w:rPr>
          <w:rFonts w:ascii="Arial" w:hAnsi="Arial" w:cs="Arial"/>
          <w:sz w:val="24"/>
          <w:szCs w:val="24"/>
        </w:rPr>
        <w:t>plan to enable pupils to make progress with these skills in each key stage.</w:t>
      </w:r>
    </w:p>
    <w:p w:rsidR="00F7511F" w:rsidRPr="00056CC5" w:rsidRDefault="00F7511F" w:rsidP="00F75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>RE teaching is intended to develop these skills:</w:t>
            </w:r>
          </w:p>
        </w:tc>
        <w:tc>
          <w:tcPr>
            <w:tcW w:w="4675" w:type="dxa"/>
          </w:tcPr>
          <w:p w:rsidR="00D2516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 xml:space="preserve">Examples of progression from </w:t>
            </w:r>
            <w:r w:rsidR="00D2516F" w:rsidRPr="00056CC5">
              <w:rPr>
                <w:rFonts w:ascii="Arial" w:hAnsi="Arial" w:cs="Arial"/>
                <w:b/>
                <w:bCs/>
                <w:color w:val="000000"/>
              </w:rPr>
              <w:t>Early Years, through KS1 and 2 to KS3</w:t>
            </w:r>
          </w:p>
          <w:p w:rsidR="00F7511F" w:rsidRPr="00056CC5" w:rsidRDefault="00D2516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>P</w:t>
            </w:r>
            <w:r w:rsidR="00F7511F" w:rsidRPr="00056CC5">
              <w:rPr>
                <w:rFonts w:ascii="Arial" w:hAnsi="Arial" w:cs="Arial"/>
                <w:b/>
                <w:bCs/>
                <w:color w:val="000000"/>
              </w:rPr>
              <w:t>upils will be increasingly able to: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Investigating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– in RE this includes abilities 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asking relevant questions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knowing how to use different types of sources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as ways of gathering information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knowing what may constitute evidence for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understanding religion(s).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Ask increasingly deep and complex questions about religion.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Use a widening range of sources to pursue answers.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Focus on selecting and understanding relevant sources to deal with religious and spiritual questions with increasing insight and sensitivity.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Evaluate a range of responses to the questions and issues they study.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Reflecting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– in RE this includes abilities 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reflecting on religious beliefs and practices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ultimate questions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reflecting upon feelings, relationships,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experiences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thinking and speaking carefully about religious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and spiritual topics.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Describe how action and atmosphere makes them feel.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Experience the use of silence and thoughtfulness in religion and in life.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Take increasing account of the meanings of experience and discern the depth of questions religion addresses.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Respond sensitively and with insight to religious and spiritual phenomena and their meanings.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Expressing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– in RE this includes abilities 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explaining concepts, rituals and practices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identifying and articulating matters of deep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conviction and concern, and responding to religious issues through a variety of media.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Explain what words and actions might mean to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believers.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Articulate their own reactions and ideas about religious questions and practices.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Clarify and analyse with growing confidence aspects of religion which they find valuable or interesting or negative.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Explain in words and other ways their own responses to matters of deep conviction.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 xml:space="preserve">Interpreting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  <w:r w:rsidRPr="00056CC5">
              <w:rPr>
                <w:rFonts w:ascii="Arial" w:hAnsi="Arial" w:cs="Arial"/>
                <w:color w:val="000000"/>
              </w:rPr>
              <w:t>in RE this includes abilities 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drawing meaning from, for example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artefacts, works of art, poetry and symbols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interpreting religious language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lastRenderedPageBreak/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suggesting meanings of religious texts.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Say what an object means, or explain a symbol.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Use figures of speech or metaphors to speak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creatively about religious ideas.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lastRenderedPageBreak/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Understand increasingly the diverse ways in which religious and spiritual experience can be interpreted.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Clarify and express the role of interpretation in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lastRenderedPageBreak/>
              <w:t>religion and life.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lastRenderedPageBreak/>
              <w:t xml:space="preserve">Empathising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– in RE this includes abilities 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considering the thoughts, feelings, experiences,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attitudes, beliefs and values of others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developing the power of imagination to identify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feelings such as love, wonder, forgiveness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sorrow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seeing the world through the eyes of others,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and to see issues from their point of view,</w:t>
            </w:r>
            <w:r w:rsidR="00DC2D70" w:rsidRPr="00056CC5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deepening understanding of beliefs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practices.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See with sensitivity how others respond to their actions, words or behaviour.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Connect their feelings, both positive and negative, with those of others, including those in religious stories and contexts.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Imagine with growing awareness how they would feel in a different situation from their own.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Identify thoughtfully with other people from a range of communities and stances for life.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Applying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– in RE this includes abilities such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using RE learning in new situations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making the association between religions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and individual community, national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international life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identifying key religious values and their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connections with secular values.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Recognise religious materials and take note of their details and style.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See links and simple connections between aspects of religions.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Make increasingly subtle and complex links between religious material and their own ideas.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Apply learning from one religious context to new contexts with growing awareness and clarity.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056CC5">
              <w:rPr>
                <w:rFonts w:ascii="Arial" w:eastAsia="Wingdings-Regular" w:hAnsi="Arial" w:cs="Arial"/>
                <w:color w:val="000000"/>
                <w:sz w:val="21"/>
                <w:szCs w:val="21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>Synthesise their learning from different religious sources and their own ideas.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 xml:space="preserve">Discerning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  <w:r w:rsidRPr="00056CC5">
              <w:rPr>
                <w:rFonts w:ascii="Arial" w:hAnsi="Arial" w:cs="Arial"/>
                <w:color w:val="000000"/>
              </w:rPr>
              <w:t>in RE this includes abilities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developing insight into personal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experience and religion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exploring the positive and negative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aspects of religious and secular beliefs</w:t>
            </w:r>
            <w:r w:rsidR="00DC2D70" w:rsidRPr="00056CC5">
              <w:rPr>
                <w:rFonts w:ascii="Arial" w:hAnsi="Arial" w:cs="Arial"/>
                <w:color w:val="000000"/>
              </w:rPr>
              <w:t xml:space="preserve"> </w:t>
            </w:r>
            <w:r w:rsidRPr="00056CC5">
              <w:rPr>
                <w:rFonts w:ascii="Arial" w:hAnsi="Arial" w:cs="Arial"/>
                <w:color w:val="000000"/>
              </w:rPr>
              <w:t>and ways of life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relating learning to life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making thoughtful judgements about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the personal value of religious beliefs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and practices.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Experience the awe and wonder of the natural world and of human relations.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Be willing to look beyond the surface at underlying ideas and questions.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Weigh up the value religious believers find in their faith with insight, relating it to their own experience.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 xml:space="preserve">Discern with clarity, respect </w:t>
            </w:r>
            <w:proofErr w:type="gramStart"/>
            <w:r w:rsidRPr="00056CC5">
              <w:rPr>
                <w:rFonts w:ascii="Arial" w:hAnsi="Arial" w:cs="Arial"/>
                <w:color w:val="000000"/>
              </w:rPr>
              <w:t xml:space="preserve">and  </w:t>
            </w:r>
            <w:proofErr w:type="spellStart"/>
            <w:r w:rsidRPr="00056CC5">
              <w:rPr>
                <w:rFonts w:ascii="Arial" w:hAnsi="Arial" w:cs="Arial"/>
                <w:color w:val="000000"/>
              </w:rPr>
              <w:t>houghtfulness</w:t>
            </w:r>
            <w:proofErr w:type="spellEnd"/>
            <w:proofErr w:type="gramEnd"/>
            <w:r w:rsidRPr="00056CC5">
              <w:rPr>
                <w:rFonts w:ascii="Arial" w:hAnsi="Arial" w:cs="Arial"/>
                <w:color w:val="000000"/>
              </w:rPr>
              <w:t xml:space="preserve"> the impact (positive and negative) of religious and secular ways of living.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 xml:space="preserve">Analysing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  <w:r w:rsidRPr="00056CC5">
              <w:rPr>
                <w:rFonts w:ascii="Arial" w:hAnsi="Arial" w:cs="Arial"/>
                <w:color w:val="000000"/>
              </w:rPr>
              <w:t>in RE this includes abilities such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distinguishing between opinion, belief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and fact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distinguishing between the features of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different religions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recognising similarities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distinctiveness of religious ways of life.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lastRenderedPageBreak/>
              <w:t xml:space="preserve">▪ </w:t>
            </w: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lastRenderedPageBreak/>
              <w:t>See what kinds of reasons are given to explain religious aspects of life.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Join in discussion about issues arising from the study of religion.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Use reasons, facts, opinions, examples and experience to justify or question a view of a religious issue.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lastRenderedPageBreak/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Analyse the religious views encountered with fairness, balance, empathy and critical rigour.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Synthesising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  <w:r w:rsidRPr="00056CC5">
              <w:rPr>
                <w:rFonts w:ascii="Arial" w:hAnsi="Arial" w:cs="Arial"/>
                <w:color w:val="000000"/>
              </w:rPr>
              <w:t>in RE this includes abilities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linking significant features of religion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together in a coherent pattern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connecting different aspects of life into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 meaningful whole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making links between religion and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 xml:space="preserve">human experience, including the 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pupil's own experience.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Notice similarities between stories and practices from religions.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Use general words to describe a range of religious practice and teaching.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Make links between different aspects of one religion, or similar and contrasting aspects of two or more religions.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Explain clearly the relationships, similarities and differences between a range of religious arguments, ideas, views and teachings.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7511F" w:rsidRPr="00056CC5" w:rsidTr="00F7511F"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b/>
                <w:bCs/>
                <w:color w:val="000000"/>
              </w:rPr>
              <w:t xml:space="preserve">Evaluating </w:t>
            </w:r>
            <w:r w:rsidRPr="00056CC5">
              <w:rPr>
                <w:rFonts w:ascii="Arial" w:hAnsi="Arial" w:cs="Arial"/>
                <w:color w:val="000000"/>
                <w:sz w:val="21"/>
                <w:szCs w:val="21"/>
              </w:rPr>
              <w:t xml:space="preserve">– </w:t>
            </w:r>
            <w:r w:rsidRPr="00056CC5">
              <w:rPr>
                <w:rFonts w:ascii="Arial" w:hAnsi="Arial" w:cs="Arial"/>
                <w:color w:val="000000"/>
              </w:rPr>
              <w:t>in RE this includes abilities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such as: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debating issues of religious significance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with reference to experience, evidence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and argument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weighing the respective claims of self-interest,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consideration for others, religious teaching and individual conscience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drawing conclusions which are balanced, and related to evidence, dialogue and experience.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4675" w:type="dxa"/>
          </w:tcPr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hAnsi="Arial" w:cs="Arial"/>
                <w:color w:val="000000"/>
              </w:rPr>
              <w:t>Talk about what makes people choose religious ways of life.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Describe how religious people show the importance of symbols, key figures, texts or stories.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Weigh up with fairness and balance the value they see in a range of religious practices.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56CC5">
              <w:rPr>
                <w:rFonts w:ascii="Arial" w:eastAsia="Wingdings-Regular" w:hAnsi="Arial" w:cs="Arial"/>
                <w:color w:val="000000"/>
              </w:rPr>
              <w:t xml:space="preserve">▪ </w:t>
            </w:r>
            <w:r w:rsidRPr="00056CC5">
              <w:rPr>
                <w:rFonts w:ascii="Arial" w:hAnsi="Arial" w:cs="Arial"/>
                <w:color w:val="000000"/>
              </w:rPr>
              <w:t>Evaluate skilfully some religious responses to moral issues, and their own responses.</w:t>
            </w:r>
          </w:p>
          <w:p w:rsidR="00F7511F" w:rsidRPr="00056CC5" w:rsidRDefault="00F7511F" w:rsidP="00F7511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056CC5" w:rsidRDefault="00056CC5" w:rsidP="00FB30CE">
      <w:pPr>
        <w:rPr>
          <w:rFonts w:ascii="Arial" w:hAnsi="Arial" w:cs="Arial"/>
          <w:sz w:val="26"/>
          <w:szCs w:val="26"/>
        </w:rPr>
      </w:pPr>
    </w:p>
    <w:p w:rsidR="00FB30CE" w:rsidRPr="00056CC5" w:rsidRDefault="00FB30CE" w:rsidP="00FB30CE">
      <w:pPr>
        <w:rPr>
          <w:rFonts w:ascii="Arial" w:hAnsi="Arial" w:cs="Arial"/>
          <w:sz w:val="26"/>
          <w:szCs w:val="26"/>
        </w:rPr>
      </w:pPr>
      <w:r w:rsidRPr="00056CC5">
        <w:rPr>
          <w:rFonts w:ascii="Arial" w:hAnsi="Arial" w:cs="Arial"/>
          <w:sz w:val="26"/>
          <w:szCs w:val="26"/>
        </w:rPr>
        <w:t>NB: These skills are generic to RE across the key stages</w:t>
      </w:r>
      <w:r w:rsidR="00056CC5">
        <w:rPr>
          <w:rFonts w:ascii="Arial" w:hAnsi="Arial" w:cs="Arial"/>
          <w:sz w:val="26"/>
          <w:szCs w:val="26"/>
        </w:rPr>
        <w:t xml:space="preserve"> and are progressive</w:t>
      </w:r>
      <w:r w:rsidRPr="00056CC5">
        <w:rPr>
          <w:rFonts w:ascii="Arial" w:hAnsi="Arial" w:cs="Arial"/>
          <w:sz w:val="26"/>
          <w:szCs w:val="26"/>
        </w:rPr>
        <w:t>.</w:t>
      </w:r>
    </w:p>
    <w:p w:rsidR="00F7511F" w:rsidRPr="00056CC5" w:rsidRDefault="00F7511F">
      <w:pPr>
        <w:rPr>
          <w:rFonts w:ascii="Arial" w:hAnsi="Arial" w:cs="Arial"/>
        </w:rPr>
      </w:pPr>
    </w:p>
    <w:sectPr w:rsidR="00F7511F" w:rsidRPr="00056CC5" w:rsidSect="009D7E7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11F"/>
    <w:rsid w:val="00056CC5"/>
    <w:rsid w:val="00084D45"/>
    <w:rsid w:val="00535500"/>
    <w:rsid w:val="008D286E"/>
    <w:rsid w:val="00CD228E"/>
    <w:rsid w:val="00D2516F"/>
    <w:rsid w:val="00DC2D70"/>
    <w:rsid w:val="00E83E5D"/>
    <w:rsid w:val="00F7511F"/>
    <w:rsid w:val="00FB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538F1"/>
  <w15:chartTrackingRefBased/>
  <w15:docId w15:val="{2AEE4553-EEEA-409E-9F46-0EA279B5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McManus</dc:creator>
  <cp:keywords/>
  <dc:description/>
  <cp:lastModifiedBy>Stephanie McManus</cp:lastModifiedBy>
  <cp:revision>7</cp:revision>
  <dcterms:created xsi:type="dcterms:W3CDTF">2020-04-23T15:21:00Z</dcterms:created>
  <dcterms:modified xsi:type="dcterms:W3CDTF">2023-03-02T18:04:00Z</dcterms:modified>
</cp:coreProperties>
</file>